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3548E">
      <w:pPr>
        <w:rPr>
          <w:rFonts w:hint="default"/>
          <w:lang w:val="en-US" w:eastAsia="zh-CN"/>
        </w:rPr>
      </w:pPr>
      <w:r>
        <w:rPr>
          <w:rFonts w:hint="eastAsia"/>
          <w:lang w:val="en-US" w:eastAsia="zh-CN"/>
        </w:rPr>
        <w:t>Written Component</w:t>
      </w:r>
      <w:bookmarkStart w:id="0" w:name="_GoBack"/>
      <w:bookmarkEnd w:id="0"/>
    </w:p>
    <w:p w14:paraId="42A1E877">
      <w:pPr>
        <w:rPr>
          <w:rFonts w:hint="eastAsia"/>
        </w:rPr>
      </w:pPr>
      <w:r>
        <w:rPr>
          <w:rFonts w:hint="eastAsia"/>
        </w:rPr>
        <w:t>This written component is an explanation of my video essay, rather than a full project report. The film uses the first-person voice of the IKEA STRÅLA lamp to tell a fictional story of escape. Through this narrative, the video explains how a standardised instruction manual can be questioned, interrupted, and rewritten by real users.</w:t>
      </w:r>
    </w:p>
    <w:p w14:paraId="7938D677">
      <w:pPr>
        <w:rPr>
          <w:rFonts w:hint="eastAsia"/>
        </w:rPr>
      </w:pPr>
    </w:p>
    <w:p w14:paraId="3AC46E03">
      <w:pPr>
        <w:rPr>
          <w:rFonts w:hint="eastAsia"/>
        </w:rPr>
      </w:pPr>
      <w:r>
        <w:rPr>
          <w:rFonts w:hint="eastAsia"/>
        </w:rPr>
        <w:t>The reason I chose a first-person narration is that I wanted the manual to feel like a living space rather than a neutral document. In the opening scene, the lamp introduces itself as an object living inside an IKEA manual. It describes itself as clean, simple, and obedient, surrounded by arrows, numbers, and a clear order of steps. This scene introduces the manual as a controlled visual world, where the object and the user are both expected to behave in a specific way.</w:t>
      </w:r>
    </w:p>
    <w:p w14:paraId="5D233657">
      <w:pPr>
        <w:rPr>
          <w:rFonts w:hint="eastAsia"/>
        </w:rPr>
      </w:pPr>
    </w:p>
    <w:p w14:paraId="5EBD0268">
      <w:pPr>
        <w:rPr>
          <w:rFonts w:hint="eastAsia"/>
        </w:rPr>
      </w:pPr>
      <w:r>
        <w:rPr>
          <w:rFonts w:hint="eastAsia"/>
        </w:rPr>
        <w:t>The next part of the video shows the lamp becoming bored with its original layout. By changing typefaces, image styles, scale, sequence, and page structures, the lamp begins to experience different visual identities. This part is used to show that layout is not only a way of organising information. It can also change the tone, rhythm, and meaning of the same instruction.</w:t>
      </w:r>
    </w:p>
    <w:p w14:paraId="2A12CAA4">
      <w:pPr>
        <w:rPr>
          <w:rFonts w:hint="eastAsia"/>
        </w:rPr>
      </w:pPr>
    </w:p>
    <w:p w14:paraId="59892030">
      <w:pPr>
        <w:rPr>
          <w:rFonts w:hint="eastAsia"/>
        </w:rPr>
      </w:pPr>
      <w:r>
        <w:rPr>
          <w:rFonts w:hint="eastAsia"/>
        </w:rPr>
        <w:t>After this, the lamp escapes from the manual and enters different formats, such as a comic book, a game interface, a music score, an archive, and an advertisement. These scenes are not simply visual experiments. They show how the same object can be translated into different systems of reading. The lamp still remains itself, but each format gives it a different voice and identity.</w:t>
      </w:r>
    </w:p>
    <w:p w14:paraId="4A771CAC">
      <w:pPr>
        <w:rPr>
          <w:rFonts w:hint="eastAsia"/>
        </w:rPr>
      </w:pPr>
    </w:p>
    <w:p w14:paraId="78451727">
      <w:pPr>
        <w:rPr>
          <w:rFonts w:hint="eastAsia"/>
        </w:rPr>
      </w:pPr>
      <w:r>
        <w:rPr>
          <w:rFonts w:hint="eastAsia"/>
        </w:rPr>
        <w:t>In the middle of the film, the tone changes. The lamp realises that the manual is not only a layout, but also a script. It does not only describe how the lamp should be assembled; it also imagines an ideal user who is calm, logical, and obedient. This moment introduces the theoretical reference of Madeleine Akrich’s idea of de-scription. In the video, this reference helps explain how objects and instructions can contain assumptions about users, actions, spaces, and behaviours.</w:t>
      </w:r>
    </w:p>
    <w:p w14:paraId="3B0CC202">
      <w:pPr>
        <w:rPr>
          <w:rFonts w:hint="eastAsia"/>
        </w:rPr>
      </w:pPr>
    </w:p>
    <w:p w14:paraId="5F8F3896">
      <w:pPr>
        <w:rPr>
          <w:rFonts w:hint="eastAsia"/>
        </w:rPr>
      </w:pPr>
      <w:r>
        <w:rPr>
          <w:rFonts w:hint="eastAsia"/>
        </w:rPr>
        <w:t>The film then moves from the lamp’s story to the stories of other transformed objects. These short object monologues show how real users reinterpret things through their own spaces, habits, needs, and ways of seeing. For example, a bowl becomes a lampshade because the user focuses on its shape and material rather than its original function. A chair becomes a coat rack because the user sees its legs, back, and frame as separate parts that can be rearranged like Lego. These scenes show the difference between official use and everyday use.</w:t>
      </w:r>
    </w:p>
    <w:p w14:paraId="6B2508AC">
      <w:pPr>
        <w:rPr>
          <w:rFonts w:hint="eastAsia"/>
        </w:rPr>
      </w:pPr>
    </w:p>
    <w:p w14:paraId="0244E906">
      <w:pPr>
        <w:rPr>
          <w:rFonts w:hint="eastAsia"/>
        </w:rPr>
      </w:pPr>
      <w:r>
        <w:rPr>
          <w:rFonts w:hint="eastAsia"/>
        </w:rPr>
        <w:t>At this point, the narration shifts from the lamp’s voice to my voice as the author of the video. This shift is important because the film moves from fictional storytelling into reflection. I explain that these object stories gave me a way to think about the gap between the ideal user imagined by the manual and the real user who rewrites objects in personal and unexpected ways.</w:t>
      </w:r>
    </w:p>
    <w:p w14:paraId="5207CD32">
      <w:pPr>
        <w:rPr>
          <w:rFonts w:hint="eastAsia"/>
        </w:rPr>
      </w:pPr>
    </w:p>
    <w:p w14:paraId="0F270FB7">
      <w:pPr>
        <w:rPr>
          <w:rFonts w:hint="eastAsia"/>
        </w:rPr>
      </w:pPr>
      <w:r>
        <w:rPr>
          <w:rFonts w:hint="eastAsia"/>
        </w:rPr>
        <w:t>The references appear in the video to support this shift. The De-Scription of Technical Objects helps me understand the manual as a script. The Practice of Everyday Life helps me think about real users as active participants who adapt and transform objects in daily life. The Designer as Author helps me understand my own role in using layout, sequence, and visual form to produce meaning. Conditional Design Workbook supports my rule-based visual experiments. The Anarchist Cookbook is used as a formal reference for thinking about manuals as formats for unofficial action.</w:t>
      </w:r>
    </w:p>
    <w:p w14:paraId="7609A96B">
      <w:pPr>
        <w:rPr>
          <w:rFonts w:hint="eastAsia"/>
        </w:rPr>
      </w:pPr>
    </w:p>
    <w:p w14:paraId="47D95C33">
      <w:pPr>
        <w:rPr>
          <w:rFonts w:hint="eastAsia"/>
        </w:rPr>
      </w:pPr>
      <w:r>
        <w:rPr>
          <w:rFonts w:hint="eastAsia"/>
        </w:rPr>
        <w:t>The Tokyo Olympics visual identity reference appears before the final outcome because it helps explain my visual decision. Modern graphic design often values order, clarity, standardisation, and a unified visual identity. I connect this to the IKEA manual’s clean, controlled, and universal visual language. In contrast, the real users in my video are personal, unstable, and shaped by specific spaces and needs. Therefore, I choose hand-drawn lines, animation, irregular rhythm, and different visual styles to move away from the standard language of instruction design.</w:t>
      </w:r>
    </w:p>
    <w:p w14:paraId="7EA778AE">
      <w:pPr>
        <w:rPr>
          <w:rFonts w:hint="eastAsia"/>
        </w:rPr>
      </w:pPr>
    </w:p>
    <w:p w14:paraId="2E33F492">
      <w:pPr>
        <w:rPr>
          <w:rFonts w:hint="eastAsia"/>
        </w:rPr>
      </w:pPr>
      <w:r>
        <w:rPr>
          <w:rFonts w:hint="eastAsia"/>
        </w:rPr>
        <w:t>The final part of the video presents my outcome through a split-screen structure. One side shows the official logic of the manual: clear, standardised, and controlled. The other side shows real users’ ways of thinking: personal, contextual, and unstable. I use silhouette, combination, size, and angle as visual methods to translate how different users understand objects.</w:t>
      </w:r>
    </w:p>
    <w:p w14:paraId="22D9C396">
      <w:pPr>
        <w:rPr>
          <w:rFonts w:hint="eastAsia"/>
        </w:rPr>
      </w:pPr>
    </w:p>
    <w:p w14:paraId="7F3F96C1">
      <w:pPr>
        <w:rPr>
          <w:rFonts w:hint="eastAsia"/>
        </w:rPr>
      </w:pPr>
      <w:r>
        <w:rPr>
          <w:rFonts w:hint="eastAsia"/>
        </w:rPr>
        <w:t>Overall, the video essay uses the lamp’s fictional escape as a way to question the neutrality of instruction design. The story makes the manual feel alive, but the structure of the film reveals a critical position: a manual is not only a tool for instruction. It is also a script that can be followed, interrupted, misread, and rewritten.</w:t>
      </w:r>
    </w:p>
    <w:p w14:paraId="6874FD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EF257"/>
    <w:rsid w:val="2F6EF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2026-05-31T16:12:00Z</dcterms:created>
  <dc:creator>粥粥.</dc:creator>
  <cp:lastModifiedBy>粥粥.</cp:lastModifiedBy>
  <dcterms:modified xsi:type="dcterms:W3CDTF">2026-05-31T20:08:32Z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0767FBFF5E8C7B8CFA4F1C6AF3ECE3FA_41</vt:lpwstr>
  </property>
</Properties>
</file>